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BC" w:rsidRPr="008A4A88" w:rsidRDefault="006219BC" w:rsidP="006219BC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GoBack"/>
      <w:bookmarkEnd w:id="0"/>
      <w:r w:rsidRPr="008A4A88">
        <w:rPr>
          <w:rFonts w:ascii="Times New Roman" w:hAnsi="Times New Roman" w:cs="Times New Roman"/>
          <w:b/>
          <w:snapToGrid w:val="0"/>
          <w:sz w:val="28"/>
          <w:szCs w:val="28"/>
        </w:rPr>
        <w:t>ИСПОЛЬЗОВАНИЕ МЕДИЦИНСКОГО ХАЛАТА,</w:t>
      </w:r>
    </w:p>
    <w:p w:rsidR="006219BC" w:rsidRPr="008A4A88" w:rsidRDefault="006219BC" w:rsidP="006219BC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A4A88">
        <w:rPr>
          <w:rFonts w:ascii="Times New Roman" w:hAnsi="Times New Roman" w:cs="Times New Roman"/>
          <w:b/>
          <w:snapToGrid w:val="0"/>
          <w:sz w:val="28"/>
          <w:szCs w:val="28"/>
        </w:rPr>
        <w:t>ШАПОЧКИ И МАСКИ</w:t>
      </w:r>
    </w:p>
    <w:p w:rsidR="006219BC" w:rsidRPr="00714D82" w:rsidRDefault="006219BC" w:rsidP="006219BC">
      <w:pPr>
        <w:spacing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</w:rPr>
      </w:pPr>
      <w:r w:rsidRPr="00714D82">
        <w:rPr>
          <w:rFonts w:ascii="Times New Roman" w:hAnsi="Times New Roman" w:cs="Times New Roman"/>
          <w:b/>
          <w:bCs/>
          <w:snapToGrid w:val="0"/>
          <w:sz w:val="28"/>
        </w:rPr>
        <w:t>Цель:</w:t>
      </w:r>
      <w:r w:rsidRPr="00714D82">
        <w:rPr>
          <w:rFonts w:ascii="Times New Roman" w:hAnsi="Times New Roman" w:cs="Times New Roman"/>
          <w:snapToGrid w:val="0"/>
          <w:sz w:val="28"/>
        </w:rPr>
        <w:t xml:space="preserve"> создание барьера, препятствующего перекрест</w:t>
      </w:r>
      <w:r w:rsidRPr="00714D82">
        <w:rPr>
          <w:rFonts w:ascii="Times New Roman" w:hAnsi="Times New Roman" w:cs="Times New Roman"/>
          <w:snapToGrid w:val="0"/>
          <w:sz w:val="28"/>
        </w:rPr>
        <w:softHyphen/>
        <w:t>ной инфекции. Обеспечение высокого уровня чистоты и гигиены. Охрана здоровья персонала.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44"/>
        <w:gridCol w:w="4733"/>
        <w:gridCol w:w="105"/>
      </w:tblGrid>
      <w:tr w:rsidR="006219BC" w:rsidRPr="00714D82" w:rsidTr="005527EC">
        <w:trPr>
          <w:cantSplit/>
          <w:trHeight w:val="2094"/>
        </w:trPr>
        <w:tc>
          <w:tcPr>
            <w:tcW w:w="9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9BC" w:rsidRDefault="006219BC" w:rsidP="00552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42AC3F" wp14:editId="3CD6E855">
                  <wp:simplePos x="0" y="0"/>
                  <wp:positionH relativeFrom="column">
                    <wp:posOffset>4187190</wp:posOffset>
                  </wp:positionH>
                  <wp:positionV relativeFrom="paragraph">
                    <wp:posOffset>4445</wp:posOffset>
                  </wp:positionV>
                  <wp:extent cx="1819275" cy="1221272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261" y="21229"/>
                      <wp:lineTo x="21261" y="0"/>
                      <wp:lineTo x="0" y="0"/>
                    </wp:wrapPolygon>
                  </wp:wrapTight>
                  <wp:docPr id="7" name="Рисунок 7" descr="0003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036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2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9BC" w:rsidRDefault="006219BC" w:rsidP="0055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</w:rPr>
              <w:t xml:space="preserve">                                  </w:t>
            </w:r>
          </w:p>
          <w:p w:rsidR="006219BC" w:rsidRDefault="006219BC" w:rsidP="0055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</w:rPr>
              <w:t xml:space="preserve">                    </w:t>
            </w:r>
          </w:p>
          <w:p w:rsidR="006219BC" w:rsidRPr="00714D82" w:rsidRDefault="006219BC" w:rsidP="0055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</w:rPr>
              <w:t xml:space="preserve">                     ИСПОЛЬЗОВАНИЕ ХАЛАТА</w:t>
            </w:r>
          </w:p>
        </w:tc>
      </w:tr>
      <w:tr w:rsidR="006219BC" w:rsidRPr="00714D82" w:rsidTr="005527EC">
        <w:tc>
          <w:tcPr>
            <w:tcW w:w="4837" w:type="dxa"/>
            <w:gridSpan w:val="2"/>
            <w:tcBorders>
              <w:top w:val="single" w:sz="4" w:space="0" w:color="auto"/>
            </w:tcBorders>
            <w:vAlign w:val="center"/>
          </w:tcPr>
          <w:p w:rsidR="006219BC" w:rsidRPr="00714D82" w:rsidRDefault="006219BC" w:rsidP="00552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  <w:t>Последовательность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  <w:vAlign w:val="center"/>
          </w:tcPr>
          <w:p w:rsidR="006219BC" w:rsidRPr="00714D82" w:rsidRDefault="006219BC" w:rsidP="00552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  <w:t>Обоснование</w:t>
            </w:r>
          </w:p>
        </w:tc>
      </w:tr>
      <w:tr w:rsidR="006219BC" w:rsidRPr="00714D82" w:rsidTr="005527EC">
        <w:tc>
          <w:tcPr>
            <w:tcW w:w="483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Гигиеническая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обработка рук</w:t>
            </w:r>
          </w:p>
        </w:tc>
        <w:tc>
          <w:tcPr>
            <w:tcW w:w="4838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Удаление бытовой грязи, 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транзиторной микрофлоры и п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родуктов жизнедеятельности кожи</w:t>
            </w:r>
          </w:p>
        </w:tc>
      </w:tr>
      <w:tr w:rsidR="006219BC" w:rsidRPr="00714D82" w:rsidTr="005527EC">
        <w:tc>
          <w:tcPr>
            <w:tcW w:w="483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2. Надеть чистый медицинский халат, завязав поясок сзади так, чтобы он полностью закрывал личную одежду или полотняный костюм</w:t>
            </w:r>
          </w:p>
        </w:tc>
        <w:tc>
          <w:tcPr>
            <w:tcW w:w="4838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Халат (костюм) создает барьер, препятствующий передаче микроорганизмов, уменьшает распыл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ение роговых чешуек кожи с тела</w:t>
            </w:r>
          </w:p>
        </w:tc>
      </w:tr>
      <w:tr w:rsidR="006219BC" w:rsidRPr="00714D82" w:rsidTr="005527EC">
        <w:tc>
          <w:tcPr>
            <w:tcW w:w="483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3. При выходе за пределы кабинета (отделения) медицинская одежда снимается, если невозм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ожно – надевается верхний халат</w:t>
            </w:r>
          </w:p>
        </w:tc>
        <w:tc>
          <w:tcPr>
            <w:tcW w:w="4838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Защитные барьеры сокращают риск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попадания, инфекции в организм 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медперсонала</w:t>
            </w:r>
          </w:p>
        </w:tc>
      </w:tr>
      <w:tr w:rsidR="006219BC" w:rsidRPr="00714D82" w:rsidTr="005527EC">
        <w:trPr>
          <w:trHeight w:val="1832"/>
        </w:trPr>
        <w:tc>
          <w:tcPr>
            <w:tcW w:w="483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4. В конце рабочей смены или в случае загрязнения снять халат, прикасаясь только к его внутренней поверхности (сначала с одной руки, затем - с другой), и, выворачивая наизнанку свернуть</w:t>
            </w:r>
          </w:p>
        </w:tc>
        <w:tc>
          <w:tcPr>
            <w:tcW w:w="4838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Предупреждение загрязнения рук, контакта с загрязненной поверхностью халата</w:t>
            </w:r>
          </w:p>
        </w:tc>
      </w:tr>
      <w:tr w:rsidR="006219BC" w:rsidRPr="00714D82" w:rsidTr="005527EC">
        <w:tc>
          <w:tcPr>
            <w:tcW w:w="4837" w:type="dxa"/>
            <w:gridSpan w:val="2"/>
            <w:tcBorders>
              <w:bottom w:val="single" w:sz="4" w:space="0" w:color="auto"/>
            </w:tcBorders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5. Халат поместить в меш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ок (контейнер) для последующей 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обработки, халат одноразового использов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ания поместить в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</w:rPr>
              <w:t>дезинфектант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</w:rPr>
              <w:t>, затем выбросить</w:t>
            </w: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Предупрежден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ие загрязнения окружающей среды</w:t>
            </w:r>
          </w:p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</w:p>
        </w:tc>
      </w:tr>
      <w:tr w:rsidR="006219BC" w:rsidRPr="00714D82" w:rsidTr="005527EC">
        <w:tc>
          <w:tcPr>
            <w:tcW w:w="4837" w:type="dxa"/>
            <w:gridSpan w:val="2"/>
            <w:tcBorders>
              <w:bottom w:val="single" w:sz="4" w:space="0" w:color="auto"/>
            </w:tcBorders>
          </w:tcPr>
          <w:p w:rsidR="006219BC" w:rsidRPr="00A91A55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6. </w:t>
            </w:r>
            <w:r w:rsidRPr="00A91A55">
              <w:rPr>
                <w:rFonts w:ascii="Times New Roman" w:hAnsi="Times New Roman" w:cs="Times New Roman"/>
                <w:snapToGrid w:val="0"/>
                <w:sz w:val="28"/>
              </w:rPr>
              <w:t xml:space="preserve">Обработать руки </w:t>
            </w: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EE5F1E">
              <w:rPr>
                <w:rFonts w:ascii="Times New Roman" w:hAnsi="Times New Roman" w:cs="Times New Roman"/>
                <w:snapToGrid w:val="0"/>
                <w:sz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инфекционной безопасности</w:t>
            </w:r>
          </w:p>
        </w:tc>
      </w:tr>
      <w:tr w:rsidR="006219BC" w:rsidTr="005527EC">
        <w:trPr>
          <w:gridAfter w:val="1"/>
          <w:wAfter w:w="105" w:type="dxa"/>
          <w:cantSplit/>
          <w:trHeight w:val="1974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9BC" w:rsidRDefault="006219BC" w:rsidP="00552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714D8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B9BD548" wp14:editId="4451DAD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32385</wp:posOffset>
                  </wp:positionV>
                  <wp:extent cx="171450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60" y="21240"/>
                      <wp:lineTo x="21360" y="0"/>
                      <wp:lineTo x="0" y="0"/>
                    </wp:wrapPolygon>
                  </wp:wrapTight>
                  <wp:docPr id="6" name="Рисунок 6" descr="00036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36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 </w:t>
            </w:r>
          </w:p>
          <w:p w:rsidR="006219BC" w:rsidRDefault="006219BC" w:rsidP="00552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  <w:p w:rsidR="006219BC" w:rsidRDefault="006219BC" w:rsidP="005527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  <w:p w:rsidR="006219BC" w:rsidRPr="00714D82" w:rsidRDefault="006219BC" w:rsidP="005527E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714D8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ИСПОЛЬЗОВАНИЕ ШАПОЧКИ, МАСКИ</w:t>
            </w: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  <w:tcBorders>
              <w:top w:val="single" w:sz="4" w:space="0" w:color="auto"/>
            </w:tcBorders>
            <w:vAlign w:val="center"/>
          </w:tcPr>
          <w:p w:rsidR="006219BC" w:rsidRPr="00714D82" w:rsidRDefault="006219BC" w:rsidP="0055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  <w:t>Последовательность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</w:tcBorders>
            <w:vAlign w:val="center"/>
          </w:tcPr>
          <w:p w:rsidR="006219BC" w:rsidRPr="00714D82" w:rsidRDefault="006219BC" w:rsidP="00552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</w:rPr>
              <w:t>Обоснование</w:t>
            </w: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EE5F1E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1. </w:t>
            </w:r>
            <w:r w:rsidRPr="00EE5F1E">
              <w:rPr>
                <w:rFonts w:ascii="Times New Roman" w:hAnsi="Times New Roman" w:cs="Times New Roman"/>
                <w:snapToGrid w:val="0"/>
                <w:sz w:val="28"/>
              </w:rPr>
              <w:t>Обработать руки гигиеническим способом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Удаление бытовой грязи, 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транзиторной микрофлоры</w:t>
            </w: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2. Глядя в зеркало, надеть полотняную или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одно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разовую </w:t>
            </w:r>
            <w:proofErr w:type="spellStart"/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медшапочку</w:t>
            </w:r>
            <w:proofErr w:type="spellEnd"/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, убрав под нее все волосы на голове и шее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Волосы и перхоть – возможные источники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 микрофлоры</w:t>
            </w:r>
          </w:p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Достать 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маску из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упаковки, взяв ее за тесемки.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 Глядя в зеркало, надеть маску, чтобы она, плотно прилегая, прикрывала нос и рот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Лицевая маска сокращает 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–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 вероятность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 инфицирования,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 слизистых оболочек рта, носа, препятствует распространению инфицированной слюны с помощью фильтрации и меняет на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>правление распыления из верхних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 дыхательных пу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тей во время разговора, кашля </w:t>
            </w: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4. При необходимости надеть защитные очки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Защитные очки сокращают вероятность инфицирования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 слизистой оболочки глаз</w:t>
            </w: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5.Маска меняется по мере увлажнения, но не реже, чем каждые 2 часа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Маски становятся влажными и насыщаются микроорганизмами</w:t>
            </w:r>
          </w:p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6. Маски нельзя сохранять для последующего использования, вешая на шею или убирая в карман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Возможно инфицирование - при повторном использовании или прикосновении</w:t>
            </w: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7. Снять маску, прикасаясь только к завязкам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Предупреждение загрязнения рук</w:t>
            </w:r>
          </w:p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 xml:space="preserve">8. Сбросить в емкость для последующей обработки (одноразовую - поместить в </w:t>
            </w:r>
            <w:proofErr w:type="spellStart"/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дезинфектант</w:t>
            </w:r>
            <w:proofErr w:type="spellEnd"/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, затем выбросить)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Предупреждени</w:t>
            </w: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е загрязнения окружающей среды, обеспечение инфекционной </w:t>
            </w:r>
            <w:r w:rsidRPr="00714D82">
              <w:rPr>
                <w:rFonts w:ascii="Times New Roman" w:hAnsi="Times New Roman" w:cs="Times New Roman"/>
                <w:snapToGrid w:val="0"/>
                <w:sz w:val="28"/>
              </w:rPr>
              <w:t>безопасности</w:t>
            </w:r>
          </w:p>
        </w:tc>
      </w:tr>
      <w:tr w:rsidR="006219BC" w:rsidTr="005527EC">
        <w:trPr>
          <w:gridAfter w:val="1"/>
          <w:wAfter w:w="105" w:type="dxa"/>
        </w:trPr>
        <w:tc>
          <w:tcPr>
            <w:tcW w:w="4793" w:type="dxa"/>
          </w:tcPr>
          <w:p w:rsidR="006219BC" w:rsidRPr="00A91A55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 xml:space="preserve">9. </w:t>
            </w:r>
            <w:r w:rsidRPr="00A91A55">
              <w:rPr>
                <w:rFonts w:ascii="Times New Roman" w:hAnsi="Times New Roman" w:cs="Times New Roman"/>
                <w:snapToGrid w:val="0"/>
                <w:sz w:val="28"/>
              </w:rPr>
              <w:t xml:space="preserve">Обработать руки </w:t>
            </w:r>
          </w:p>
        </w:tc>
        <w:tc>
          <w:tcPr>
            <w:tcW w:w="4777" w:type="dxa"/>
            <w:gridSpan w:val="2"/>
          </w:tcPr>
          <w:p w:rsidR="006219BC" w:rsidRPr="00714D82" w:rsidRDefault="006219BC" w:rsidP="005527EC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</w:rPr>
              <w:t>Обеспечение инфекционной безопасности</w:t>
            </w:r>
          </w:p>
        </w:tc>
      </w:tr>
    </w:tbl>
    <w:p w:rsidR="006219BC" w:rsidRPr="001B6687" w:rsidRDefault="006219BC" w:rsidP="006219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344251F" wp14:editId="3850DBA5">
            <wp:extent cx="6000750" cy="8872333"/>
            <wp:effectExtent l="19050" t="19050" r="0" b="5080"/>
            <wp:docPr id="5" name="Рисунок 5" descr="C:\Users\user\Desktop\Открытое занятие ИСМП\Постер Использование С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 ИСМП\Постер Использование СИ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791" cy="88812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49FD" w:rsidRPr="006219BC" w:rsidRDefault="006219BC" w:rsidP="006219B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F1A69">
        <w:rPr>
          <w:rFonts w:ascii="Times New Roman" w:hAnsi="Times New Roman" w:cs="Times New Roman"/>
          <w:sz w:val="24"/>
        </w:rPr>
        <w:t>Рисунок 1 – Постер Правила использования ИЗО</w:t>
      </w:r>
    </w:p>
    <w:sectPr w:rsidR="00AB49FD" w:rsidRPr="0062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F2"/>
    <w:rsid w:val="00075AF2"/>
    <w:rsid w:val="006219BC"/>
    <w:rsid w:val="009457E7"/>
    <w:rsid w:val="00AB49FD"/>
    <w:rsid w:val="00A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40B7F-7595-49CB-9F73-35F19EE0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quantick</dc:creator>
  <cp:keywords/>
  <dc:description/>
  <cp:lastModifiedBy>Admin</cp:lastModifiedBy>
  <cp:revision>2</cp:revision>
  <dcterms:created xsi:type="dcterms:W3CDTF">2024-10-07T07:51:00Z</dcterms:created>
  <dcterms:modified xsi:type="dcterms:W3CDTF">2024-10-07T07:51:00Z</dcterms:modified>
</cp:coreProperties>
</file>